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18F6" w14:textId="2DB33CE8" w:rsidR="00727CB6" w:rsidRPr="006709EA" w:rsidRDefault="00727CB6" w:rsidP="00727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E53F1" w14:textId="77777777" w:rsidR="00727CB6" w:rsidRDefault="00727CB6" w:rsidP="00727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B6">
        <w:rPr>
          <w:rFonts w:ascii="Times New Roman" w:hAnsi="Times New Roman" w:cs="Times New Roman"/>
          <w:sz w:val="24"/>
          <w:szCs w:val="24"/>
        </w:rPr>
        <w:t xml:space="preserve">Helse- og omsorgsdepartementet </w:t>
      </w:r>
    </w:p>
    <w:p w14:paraId="1A78875F" w14:textId="77777777" w:rsidR="00727CB6" w:rsidRDefault="00727CB6" w:rsidP="00727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B6">
        <w:rPr>
          <w:rFonts w:ascii="Times New Roman" w:hAnsi="Times New Roman" w:cs="Times New Roman"/>
          <w:sz w:val="24"/>
          <w:szCs w:val="24"/>
        </w:rPr>
        <w:t>Postboks 8011 Dep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D53A1" w14:textId="1CEE0B19" w:rsidR="00727CB6" w:rsidRPr="006709EA" w:rsidRDefault="00727CB6" w:rsidP="00727C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CB6">
        <w:rPr>
          <w:rFonts w:ascii="Times New Roman" w:hAnsi="Times New Roman" w:cs="Times New Roman"/>
          <w:sz w:val="24"/>
          <w:szCs w:val="24"/>
        </w:rPr>
        <w:t>0030 OSLO</w:t>
      </w:r>
    </w:p>
    <w:p w14:paraId="47A342FF" w14:textId="77777777" w:rsidR="00727CB6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D500EB" w14:textId="6AB943D6" w:rsidR="00727CB6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Vår ref: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Dato: </w:t>
      </w:r>
    </w:p>
    <w:p w14:paraId="363D8518" w14:textId="679CABB3" w:rsidR="00727CB6" w:rsidRPr="006709EA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MLV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29.09.2020</w:t>
      </w:r>
      <w:r w:rsidRPr="006709EA">
        <w:rPr>
          <w:rFonts w:ascii="Times New Roman" w:hAnsi="Times New Roman" w:cs="Times New Roman"/>
          <w:sz w:val="24"/>
          <w:szCs w:val="24"/>
        </w:rPr>
        <w:tab/>
      </w:r>
    </w:p>
    <w:p w14:paraId="7127B40C" w14:textId="649A5CBB" w:rsidR="00727CB6" w:rsidRPr="00BB3EC8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4BCC4" w14:textId="36C6D2F8" w:rsidR="00727CB6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B3EC8">
        <w:rPr>
          <w:rFonts w:ascii="Times New Roman" w:hAnsi="Times New Roman" w:cs="Times New Roman"/>
          <w:b/>
          <w:bCs/>
          <w:sz w:val="28"/>
          <w:szCs w:val="28"/>
        </w:rPr>
        <w:t>Svar på høring - forslag til endringer i apotekloven § 6</w:t>
      </w:r>
      <w:r w:rsidR="00BB3EC8">
        <w:rPr>
          <w:rFonts w:ascii="Times New Roman" w:hAnsi="Times New Roman" w:cs="Times New Roman"/>
          <w:b/>
          <w:bCs/>
          <w:sz w:val="28"/>
          <w:szCs w:val="28"/>
        </w:rPr>
        <w:t>-6</w:t>
      </w:r>
    </w:p>
    <w:p w14:paraId="049835A9" w14:textId="77777777" w:rsidR="00BB3EC8" w:rsidRPr="00BB3EC8" w:rsidRDefault="00BB3EC8" w:rsidP="00727CB6">
      <w:pPr>
        <w:tabs>
          <w:tab w:val="left" w:pos="4065"/>
        </w:tabs>
        <w:spacing w:after="0"/>
        <w:rPr>
          <w:rStyle w:val="Overskrift1Tegn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14:paraId="4D9E2279" w14:textId="405BF74E" w:rsidR="00BB3EC8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</w:rPr>
        <w:t>Diabetesforbundet viser til</w:t>
      </w:r>
      <w:r w:rsidR="00BB3EC8" w:rsidRPr="00BB3EC8">
        <w:rPr>
          <w:rFonts w:ascii="Times New Roman" w:hAnsi="Times New Roman" w:cs="Times New Roman"/>
          <w:color w:val="000000" w:themeColor="text1"/>
        </w:rPr>
        <w:t xml:space="preserve"> høring </w:t>
      </w:r>
      <w:r w:rsidR="00BB3EC8">
        <w:rPr>
          <w:rFonts w:ascii="Times New Roman" w:hAnsi="Times New Roman" w:cs="Times New Roman"/>
          <w:color w:val="000000" w:themeColor="text1"/>
        </w:rPr>
        <w:t xml:space="preserve">med </w:t>
      </w:r>
      <w:r w:rsidR="00BB3EC8" w:rsidRPr="00BB3EC8">
        <w:rPr>
          <w:rFonts w:ascii="Times New Roman" w:hAnsi="Times New Roman" w:cs="Times New Roman"/>
          <w:color w:val="000000" w:themeColor="text1"/>
        </w:rPr>
        <w:t>forslag til endringer i apotekloven § 6-6</w:t>
      </w:r>
      <w:r w:rsidR="00BB3EC8">
        <w:rPr>
          <w:rFonts w:ascii="Times New Roman" w:hAnsi="Times New Roman" w:cs="Times New Roman"/>
          <w:color w:val="000000" w:themeColor="text1"/>
        </w:rPr>
        <w:t xml:space="preserve">. Vi takker for muligheten til å bidra med våre helsefaglige innspill til den foreslåtte lovendringen. </w:t>
      </w:r>
    </w:p>
    <w:p w14:paraId="4D82F286" w14:textId="0ADCC8AE" w:rsidR="00AC4A44" w:rsidRDefault="00EE2C66" w:rsidP="00EE2C66">
      <w:pPr>
        <w:tabs>
          <w:tab w:val="left" w:pos="5190"/>
          <w:tab w:val="left" w:pos="7590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4FC2AD7A" w14:textId="22DA1FAC" w:rsidR="00AC4A44" w:rsidRDefault="00AC4A44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Diabetesforbundet stiller seg positiv til en lovendring der biotilsvarende legemidler kan omfattes av bytteordningen i apotek</w:t>
      </w:r>
      <w:r w:rsidR="008E7795">
        <w:rPr>
          <w:rFonts w:ascii="Times New Roman" w:hAnsi="Times New Roman" w:cs="Times New Roman"/>
          <w:color w:val="000000" w:themeColor="text1"/>
        </w:rPr>
        <w:t xml:space="preserve">, da dette </w:t>
      </w:r>
      <w:r w:rsidR="00AA6A6B">
        <w:rPr>
          <w:rFonts w:ascii="Times New Roman" w:hAnsi="Times New Roman" w:cs="Times New Roman"/>
          <w:color w:val="000000" w:themeColor="text1"/>
        </w:rPr>
        <w:t xml:space="preserve">kan bidra til </w:t>
      </w:r>
      <w:r w:rsidR="008E7795">
        <w:rPr>
          <w:rFonts w:ascii="Times New Roman" w:hAnsi="Times New Roman" w:cs="Times New Roman"/>
          <w:color w:val="000000" w:themeColor="text1"/>
        </w:rPr>
        <w:t xml:space="preserve">lavere legemiddelpriser. </w:t>
      </w:r>
      <w:r w:rsidR="00C07E57">
        <w:rPr>
          <w:rFonts w:ascii="Times New Roman" w:hAnsi="Times New Roman" w:cs="Times New Roman"/>
          <w:color w:val="000000" w:themeColor="text1"/>
        </w:rPr>
        <w:t xml:space="preserve">Forutsetningen </w:t>
      </w:r>
      <w:r w:rsidR="008E7795">
        <w:rPr>
          <w:rFonts w:ascii="Times New Roman" w:hAnsi="Times New Roman" w:cs="Times New Roman"/>
          <w:color w:val="000000" w:themeColor="text1"/>
        </w:rPr>
        <w:t xml:space="preserve">for at vi stiller oss bak lovforslaget er at </w:t>
      </w:r>
      <w:r>
        <w:rPr>
          <w:rFonts w:ascii="Times New Roman" w:hAnsi="Times New Roman" w:cs="Times New Roman"/>
          <w:color w:val="000000" w:themeColor="text1"/>
        </w:rPr>
        <w:t xml:space="preserve">alle </w:t>
      </w:r>
      <w:r w:rsidR="00C07E57">
        <w:rPr>
          <w:rFonts w:ascii="Times New Roman" w:hAnsi="Times New Roman" w:cs="Times New Roman"/>
          <w:color w:val="000000" w:themeColor="text1"/>
        </w:rPr>
        <w:t xml:space="preserve">nødvendige </w:t>
      </w:r>
      <w:r>
        <w:rPr>
          <w:rFonts w:ascii="Times New Roman" w:hAnsi="Times New Roman" w:cs="Times New Roman"/>
          <w:color w:val="000000" w:themeColor="text1"/>
        </w:rPr>
        <w:t>pasientsikkerhetshensyn</w:t>
      </w:r>
      <w:r w:rsidR="008E7795">
        <w:rPr>
          <w:rFonts w:ascii="Times New Roman" w:hAnsi="Times New Roman" w:cs="Times New Roman"/>
          <w:color w:val="000000" w:themeColor="text1"/>
        </w:rPr>
        <w:t xml:space="preserve"> blir ivaretatt</w:t>
      </w:r>
      <w:r w:rsidR="00C334B3">
        <w:rPr>
          <w:rFonts w:ascii="Times New Roman" w:hAnsi="Times New Roman" w:cs="Times New Roman"/>
          <w:color w:val="000000" w:themeColor="text1"/>
        </w:rPr>
        <w:t>.</w:t>
      </w:r>
    </w:p>
    <w:p w14:paraId="7E93FBD4" w14:textId="0E30EA7B" w:rsidR="00AC4A44" w:rsidRDefault="00AC4A44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05A02AE8" w14:textId="5624D124" w:rsidR="00AC4A44" w:rsidRDefault="0090177E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AC4A44">
        <w:rPr>
          <w:rFonts w:ascii="Times New Roman" w:hAnsi="Times New Roman" w:cs="Times New Roman"/>
          <w:color w:val="000000" w:themeColor="text1"/>
        </w:rPr>
        <w:t xml:space="preserve">ersoner med diabetes </w:t>
      </w:r>
      <w:r>
        <w:rPr>
          <w:rFonts w:ascii="Times New Roman" w:hAnsi="Times New Roman" w:cs="Times New Roman"/>
          <w:color w:val="000000" w:themeColor="text1"/>
        </w:rPr>
        <w:t xml:space="preserve">vil bli påvirket av lovendringen når de blir tilbudt </w:t>
      </w:r>
      <w:r w:rsidR="00AC4A44">
        <w:rPr>
          <w:rFonts w:ascii="Times New Roman" w:hAnsi="Times New Roman" w:cs="Times New Roman"/>
          <w:color w:val="000000" w:themeColor="text1"/>
        </w:rPr>
        <w:t>biotilsvarende insulinpreparater</w:t>
      </w:r>
      <w:r>
        <w:rPr>
          <w:rFonts w:ascii="Times New Roman" w:hAnsi="Times New Roman" w:cs="Times New Roman"/>
          <w:color w:val="000000" w:themeColor="text1"/>
        </w:rPr>
        <w:t xml:space="preserve"> som en del av bytteordningen</w:t>
      </w:r>
      <w:r w:rsidR="00AC4A44">
        <w:rPr>
          <w:rFonts w:ascii="Times New Roman" w:hAnsi="Times New Roman" w:cs="Times New Roman"/>
          <w:color w:val="000000" w:themeColor="text1"/>
        </w:rPr>
        <w:t xml:space="preserve">. </w:t>
      </w:r>
      <w:r w:rsidR="001B68D4">
        <w:rPr>
          <w:rFonts w:ascii="Times New Roman" w:hAnsi="Times New Roman" w:cs="Times New Roman"/>
          <w:color w:val="000000" w:themeColor="text1"/>
        </w:rPr>
        <w:t>Vi legger til grunn at legemidde</w:t>
      </w:r>
      <w:r w:rsidR="009C7359">
        <w:rPr>
          <w:rFonts w:ascii="Times New Roman" w:hAnsi="Times New Roman" w:cs="Times New Roman"/>
          <w:color w:val="000000" w:themeColor="text1"/>
        </w:rPr>
        <w:t xml:space="preserve">lverket </w:t>
      </w:r>
      <w:r w:rsidR="001B68D4">
        <w:rPr>
          <w:rFonts w:ascii="Times New Roman" w:hAnsi="Times New Roman" w:cs="Times New Roman"/>
          <w:color w:val="000000" w:themeColor="text1"/>
        </w:rPr>
        <w:t>har foretatt en grund</w:t>
      </w:r>
      <w:r w:rsidR="009C7359">
        <w:rPr>
          <w:rFonts w:ascii="Times New Roman" w:hAnsi="Times New Roman" w:cs="Times New Roman"/>
          <w:color w:val="000000" w:themeColor="text1"/>
        </w:rPr>
        <w:t>ige</w:t>
      </w:r>
      <w:r w:rsidR="001B68D4">
        <w:rPr>
          <w:rFonts w:ascii="Times New Roman" w:hAnsi="Times New Roman" w:cs="Times New Roman"/>
          <w:color w:val="000000" w:themeColor="text1"/>
        </w:rPr>
        <w:t xml:space="preserve"> vurdering</w:t>
      </w:r>
      <w:r w:rsidR="009C7359">
        <w:rPr>
          <w:rFonts w:ascii="Times New Roman" w:hAnsi="Times New Roman" w:cs="Times New Roman"/>
          <w:color w:val="000000" w:themeColor="text1"/>
        </w:rPr>
        <w:t>er</w:t>
      </w:r>
      <w:r w:rsidR="001B68D4">
        <w:rPr>
          <w:rFonts w:ascii="Times New Roman" w:hAnsi="Times New Roman" w:cs="Times New Roman"/>
          <w:color w:val="000000" w:themeColor="text1"/>
        </w:rPr>
        <w:t xml:space="preserve"> i de tilfeller der det åpnes opp for at biotilsvarende legemidler inkluderes i bytteordningen, og at dette derfor er medisinsk forsvarlig.</w:t>
      </w:r>
      <w:r w:rsidR="00207522">
        <w:rPr>
          <w:rFonts w:ascii="Times New Roman" w:hAnsi="Times New Roman" w:cs="Times New Roman"/>
          <w:color w:val="000000" w:themeColor="text1"/>
        </w:rPr>
        <w:t xml:space="preserve"> Det vil si at biotilsvarende insulinpreparater virker likt og oppleves som tilsvarende for pasienten. </w:t>
      </w:r>
      <w:r w:rsidR="006511D8">
        <w:rPr>
          <w:rFonts w:ascii="Times New Roman" w:hAnsi="Times New Roman" w:cs="Times New Roman"/>
          <w:color w:val="000000" w:themeColor="text1"/>
        </w:rPr>
        <w:t xml:space="preserve">For personer med diabetes </w:t>
      </w:r>
      <w:r w:rsidR="00137514">
        <w:rPr>
          <w:rFonts w:ascii="Times New Roman" w:hAnsi="Times New Roman" w:cs="Times New Roman"/>
          <w:color w:val="000000" w:themeColor="text1"/>
        </w:rPr>
        <w:t>er</w:t>
      </w:r>
      <w:r w:rsidR="003C1275">
        <w:rPr>
          <w:rFonts w:ascii="Times New Roman" w:hAnsi="Times New Roman" w:cs="Times New Roman"/>
          <w:color w:val="000000" w:themeColor="text1"/>
        </w:rPr>
        <w:t xml:space="preserve"> </w:t>
      </w:r>
      <w:r w:rsidR="003F1D48">
        <w:rPr>
          <w:rFonts w:ascii="Times New Roman" w:hAnsi="Times New Roman" w:cs="Times New Roman"/>
          <w:color w:val="000000" w:themeColor="text1"/>
        </w:rPr>
        <w:t xml:space="preserve">det kritiske aspektet </w:t>
      </w:r>
      <w:r w:rsidR="006511D8">
        <w:rPr>
          <w:rFonts w:ascii="Times New Roman" w:hAnsi="Times New Roman" w:cs="Times New Roman"/>
          <w:color w:val="000000" w:themeColor="text1"/>
        </w:rPr>
        <w:t>hvorvidt</w:t>
      </w:r>
      <w:r w:rsidR="006975F8">
        <w:rPr>
          <w:rFonts w:ascii="Times New Roman" w:hAnsi="Times New Roman" w:cs="Times New Roman"/>
          <w:color w:val="000000" w:themeColor="text1"/>
        </w:rPr>
        <w:t xml:space="preserve"> ulike insuliner gjø</w:t>
      </w:r>
      <w:r w:rsidR="00EE2C66">
        <w:rPr>
          <w:rFonts w:ascii="Times New Roman" w:hAnsi="Times New Roman" w:cs="Times New Roman"/>
          <w:color w:val="000000" w:themeColor="text1"/>
        </w:rPr>
        <w:t>r</w:t>
      </w:r>
      <w:r w:rsidR="006975F8">
        <w:rPr>
          <w:rFonts w:ascii="Times New Roman" w:hAnsi="Times New Roman" w:cs="Times New Roman"/>
          <w:color w:val="000000" w:themeColor="text1"/>
        </w:rPr>
        <w:t xml:space="preserve"> at symptomer på hypoglykemi </w:t>
      </w:r>
      <w:r>
        <w:rPr>
          <w:rFonts w:ascii="Times New Roman" w:hAnsi="Times New Roman" w:cs="Times New Roman"/>
          <w:color w:val="000000" w:themeColor="text1"/>
        </w:rPr>
        <w:t xml:space="preserve">oppleves annerledes. </w:t>
      </w:r>
    </w:p>
    <w:p w14:paraId="281FA824" w14:textId="61822F77" w:rsidR="001B68D4" w:rsidRDefault="001B68D4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4AA83178" w14:textId="7B0CD496" w:rsidR="006975F8" w:rsidRDefault="00EE2C66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bookmarkStart w:id="0" w:name="_Hlk51074767"/>
      <w:r>
        <w:rPr>
          <w:rFonts w:ascii="Times New Roman" w:hAnsi="Times New Roman" w:cs="Times New Roman"/>
          <w:color w:val="000000" w:themeColor="text1"/>
        </w:rPr>
        <w:t>Diabetesforbundet</w:t>
      </w:r>
      <w:r w:rsidR="006511D8">
        <w:rPr>
          <w:rFonts w:ascii="Times New Roman" w:hAnsi="Times New Roman" w:cs="Times New Roman"/>
          <w:color w:val="000000" w:themeColor="text1"/>
        </w:rPr>
        <w:t xml:space="preserve"> er </w:t>
      </w:r>
      <w:r w:rsidR="00137514">
        <w:rPr>
          <w:rFonts w:ascii="Times New Roman" w:hAnsi="Times New Roman" w:cs="Times New Roman"/>
          <w:color w:val="000000" w:themeColor="text1"/>
        </w:rPr>
        <w:t>bekymret</w:t>
      </w:r>
      <w:r w:rsidR="00C72A99">
        <w:rPr>
          <w:rFonts w:ascii="Times New Roman" w:hAnsi="Times New Roman" w:cs="Times New Roman"/>
          <w:color w:val="000000" w:themeColor="text1"/>
        </w:rPr>
        <w:t xml:space="preserve"> </w:t>
      </w:r>
      <w:r w:rsidR="006511D8">
        <w:rPr>
          <w:rFonts w:ascii="Times New Roman" w:hAnsi="Times New Roman" w:cs="Times New Roman"/>
          <w:color w:val="000000" w:themeColor="text1"/>
        </w:rPr>
        <w:t xml:space="preserve">for hvordan den foreslåtte lovendringen vil påvirke pasientenes </w:t>
      </w:r>
      <w:r w:rsidR="006975F8">
        <w:rPr>
          <w:rFonts w:ascii="Times New Roman" w:hAnsi="Times New Roman" w:cs="Times New Roman"/>
          <w:color w:val="000000" w:themeColor="text1"/>
        </w:rPr>
        <w:t>administrasjon av ins</w:t>
      </w:r>
      <w:r>
        <w:rPr>
          <w:rFonts w:ascii="Times New Roman" w:hAnsi="Times New Roman" w:cs="Times New Roman"/>
          <w:color w:val="000000" w:themeColor="text1"/>
        </w:rPr>
        <w:t>ulin</w:t>
      </w:r>
      <w:r w:rsidR="001B68D4">
        <w:rPr>
          <w:rFonts w:ascii="Times New Roman" w:hAnsi="Times New Roman" w:cs="Times New Roman"/>
          <w:color w:val="000000" w:themeColor="text1"/>
        </w:rPr>
        <w:t>.</w:t>
      </w:r>
      <w:r w:rsidR="00C07E57">
        <w:rPr>
          <w:rFonts w:ascii="Times New Roman" w:hAnsi="Times New Roman" w:cs="Times New Roman"/>
          <w:color w:val="000000" w:themeColor="text1"/>
        </w:rPr>
        <w:t xml:space="preserve"> </w:t>
      </w:r>
      <w:r w:rsidR="006511D8" w:rsidRPr="006511D8">
        <w:rPr>
          <w:rFonts w:ascii="Times New Roman" w:hAnsi="Times New Roman" w:cs="Times New Roman"/>
          <w:color w:val="000000" w:themeColor="text1"/>
        </w:rPr>
        <w:t>Nye medisiner kommer i ny forpakning, med andre penner som kan inneholde et annet styrkeforhold. Bruk av andre og nye insulinpenner krever derfor informasjon og opplæring</w:t>
      </w:r>
      <w:r w:rsidR="006511D8">
        <w:rPr>
          <w:rFonts w:ascii="Times New Roman" w:hAnsi="Times New Roman" w:cs="Times New Roman"/>
          <w:color w:val="000000" w:themeColor="text1"/>
        </w:rPr>
        <w:t xml:space="preserve">. </w:t>
      </w:r>
      <w:r w:rsidR="006975F8">
        <w:rPr>
          <w:rFonts w:ascii="Times New Roman" w:hAnsi="Times New Roman" w:cs="Times New Roman"/>
          <w:color w:val="000000" w:themeColor="text1"/>
        </w:rPr>
        <w:t>Vanligvis skjer dette i helsetjenesten</w:t>
      </w:r>
      <w:r w:rsidR="004C3956">
        <w:rPr>
          <w:rFonts w:ascii="Times New Roman" w:hAnsi="Times New Roman" w:cs="Times New Roman"/>
          <w:color w:val="000000" w:themeColor="text1"/>
        </w:rPr>
        <w:t>, me</w:t>
      </w:r>
      <w:r w:rsidR="00B40739">
        <w:rPr>
          <w:rFonts w:ascii="Times New Roman" w:hAnsi="Times New Roman" w:cs="Times New Roman"/>
          <w:color w:val="000000" w:themeColor="text1"/>
        </w:rPr>
        <w:t xml:space="preserve">d denne lovendringen </w:t>
      </w:r>
      <w:r w:rsidR="006975F8">
        <w:rPr>
          <w:rFonts w:ascii="Times New Roman" w:hAnsi="Times New Roman" w:cs="Times New Roman"/>
          <w:color w:val="000000" w:themeColor="text1"/>
        </w:rPr>
        <w:t xml:space="preserve">må </w:t>
      </w:r>
      <w:r>
        <w:rPr>
          <w:rFonts w:ascii="Times New Roman" w:hAnsi="Times New Roman" w:cs="Times New Roman"/>
          <w:color w:val="000000" w:themeColor="text1"/>
        </w:rPr>
        <w:t>apotekene</w:t>
      </w:r>
      <w:r w:rsidR="006975F8">
        <w:rPr>
          <w:rFonts w:ascii="Times New Roman" w:hAnsi="Times New Roman" w:cs="Times New Roman"/>
          <w:color w:val="000000" w:themeColor="text1"/>
        </w:rPr>
        <w:t xml:space="preserve"> få ansvaret for dette.</w:t>
      </w:r>
    </w:p>
    <w:bookmarkEnd w:id="0"/>
    <w:p w14:paraId="64ED6E2E" w14:textId="77777777" w:rsidR="006975F8" w:rsidRDefault="006975F8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55065645" w14:textId="317EB4DE" w:rsidR="003A2B3F" w:rsidRDefault="003A2B3F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For </w:t>
      </w:r>
      <w:r w:rsidR="008E7795">
        <w:rPr>
          <w:rFonts w:ascii="Times New Roman" w:hAnsi="Times New Roman" w:cs="Times New Roman"/>
          <w:color w:val="000000" w:themeColor="text1"/>
        </w:rPr>
        <w:t>diabetes</w:t>
      </w:r>
      <w:r>
        <w:rPr>
          <w:rFonts w:ascii="Times New Roman" w:hAnsi="Times New Roman" w:cs="Times New Roman"/>
          <w:color w:val="000000" w:themeColor="text1"/>
        </w:rPr>
        <w:t>pasienten kan nye og flere medisiner føre til feilbruk og i verste fall dobbeltbruk av insulin.</w:t>
      </w:r>
      <w:r w:rsidR="001A1637">
        <w:rPr>
          <w:rFonts w:ascii="Times New Roman" w:hAnsi="Times New Roman" w:cs="Times New Roman"/>
          <w:color w:val="000000" w:themeColor="text1"/>
        </w:rPr>
        <w:t xml:space="preserve"> En alvorlig svakhet, spesielt for et så viktig preparat som insulin, er at byttet skjer på apoteket uten at melding går tilbake til forskrivende lege. </w:t>
      </w:r>
      <w:r w:rsidR="008E7795">
        <w:rPr>
          <w:rFonts w:ascii="Times New Roman" w:hAnsi="Times New Roman" w:cs="Times New Roman"/>
          <w:color w:val="000000" w:themeColor="text1"/>
        </w:rPr>
        <w:t>Det kan få alvorlige helsekonsekvenser og i verste</w:t>
      </w:r>
      <w:r w:rsidR="00F73696">
        <w:rPr>
          <w:rFonts w:ascii="Times New Roman" w:hAnsi="Times New Roman" w:cs="Times New Roman"/>
          <w:color w:val="000000" w:themeColor="text1"/>
        </w:rPr>
        <w:t xml:space="preserve"> </w:t>
      </w:r>
      <w:r w:rsidR="008E7795">
        <w:rPr>
          <w:rFonts w:ascii="Times New Roman" w:hAnsi="Times New Roman" w:cs="Times New Roman"/>
          <w:color w:val="000000" w:themeColor="text1"/>
        </w:rPr>
        <w:t xml:space="preserve">fall lede til død. </w:t>
      </w:r>
      <w:bookmarkStart w:id="1" w:name="_Hlk51076784"/>
      <w:r w:rsidR="009C7359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ovendringen fordrer derfor at </w:t>
      </w:r>
      <w:r w:rsidR="001A1637">
        <w:rPr>
          <w:rFonts w:ascii="Times New Roman" w:hAnsi="Times New Roman" w:cs="Times New Roman"/>
          <w:color w:val="000000" w:themeColor="text1"/>
        </w:rPr>
        <w:t xml:space="preserve">ikke bare </w:t>
      </w:r>
      <w:r w:rsidR="00C07E57">
        <w:rPr>
          <w:rFonts w:ascii="Times New Roman" w:hAnsi="Times New Roman" w:cs="Times New Roman"/>
          <w:color w:val="000000" w:themeColor="text1"/>
        </w:rPr>
        <w:t>forskrivende lege</w:t>
      </w:r>
      <w:r>
        <w:rPr>
          <w:rFonts w:ascii="Times New Roman" w:hAnsi="Times New Roman" w:cs="Times New Roman"/>
          <w:color w:val="000000" w:themeColor="text1"/>
        </w:rPr>
        <w:t xml:space="preserve"> og helsepersonell</w:t>
      </w:r>
      <w:r w:rsidR="001A1637">
        <w:rPr>
          <w:rFonts w:ascii="Times New Roman" w:hAnsi="Times New Roman" w:cs="Times New Roman"/>
          <w:color w:val="000000" w:themeColor="text1"/>
        </w:rPr>
        <w:t>, men også apotekene,</w:t>
      </w:r>
      <w:r>
        <w:rPr>
          <w:rFonts w:ascii="Times New Roman" w:hAnsi="Times New Roman" w:cs="Times New Roman"/>
          <w:color w:val="000000" w:themeColor="text1"/>
        </w:rPr>
        <w:t xml:space="preserve"> tar et</w:t>
      </w:r>
      <w:r w:rsidR="00C07E57">
        <w:rPr>
          <w:rFonts w:ascii="Times New Roman" w:hAnsi="Times New Roman" w:cs="Times New Roman"/>
          <w:color w:val="000000" w:themeColor="text1"/>
        </w:rPr>
        <w:t xml:space="preserve"> større ansvar for å sikre riktig bruk av medisiner</w:t>
      </w:r>
      <w:r>
        <w:rPr>
          <w:rFonts w:ascii="Times New Roman" w:hAnsi="Times New Roman" w:cs="Times New Roman"/>
          <w:color w:val="000000" w:themeColor="text1"/>
        </w:rPr>
        <w:t xml:space="preserve">, kontrollere medisinlister </w:t>
      </w:r>
      <w:r w:rsidR="00C07E57">
        <w:rPr>
          <w:rFonts w:ascii="Times New Roman" w:hAnsi="Times New Roman" w:cs="Times New Roman"/>
          <w:color w:val="000000" w:themeColor="text1"/>
        </w:rPr>
        <w:t xml:space="preserve">og </w:t>
      </w:r>
      <w:r>
        <w:rPr>
          <w:rFonts w:ascii="Times New Roman" w:hAnsi="Times New Roman" w:cs="Times New Roman"/>
          <w:color w:val="000000" w:themeColor="text1"/>
        </w:rPr>
        <w:t>unngå</w:t>
      </w:r>
      <w:r w:rsidR="00C07E57">
        <w:rPr>
          <w:rFonts w:ascii="Times New Roman" w:hAnsi="Times New Roman" w:cs="Times New Roman"/>
          <w:color w:val="000000" w:themeColor="text1"/>
        </w:rPr>
        <w:t xml:space="preserve"> dobbeltbruk</w:t>
      </w:r>
      <w:r w:rsidR="009C7359">
        <w:rPr>
          <w:rFonts w:ascii="Times New Roman" w:hAnsi="Times New Roman" w:cs="Times New Roman"/>
          <w:color w:val="000000" w:themeColor="text1"/>
        </w:rPr>
        <w:t xml:space="preserve">, enn i dag.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</w:p>
    <w:p w14:paraId="472E7A88" w14:textId="77777777" w:rsidR="003A2B3F" w:rsidRDefault="003A2B3F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823686C" w14:textId="3E995817" w:rsidR="003A2B3F" w:rsidRDefault="003A2B3F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bookmarkStart w:id="2" w:name="_Hlk51076940"/>
      <w:r>
        <w:rPr>
          <w:rFonts w:ascii="Times New Roman" w:hAnsi="Times New Roman" w:cs="Times New Roman"/>
          <w:color w:val="000000" w:themeColor="text1"/>
        </w:rPr>
        <w:t xml:space="preserve">Diabetesforbundet mener at foreskrivende lege må kunne reservere seg mot bytte dersom </w:t>
      </w:r>
      <w:r w:rsidRPr="00BB3EC8">
        <w:rPr>
          <w:rFonts w:ascii="Times New Roman" w:hAnsi="Times New Roman" w:cs="Times New Roman"/>
          <w:color w:val="000000" w:themeColor="text1"/>
        </w:rPr>
        <w:t>det ikke er forsvarlig</w:t>
      </w:r>
      <w:r w:rsidR="00F73696">
        <w:rPr>
          <w:rFonts w:ascii="Times New Roman" w:hAnsi="Times New Roman" w:cs="Times New Roman"/>
          <w:color w:val="000000" w:themeColor="text1"/>
        </w:rPr>
        <w:t xml:space="preserve"> eller hensiktsmessig</w:t>
      </w:r>
      <w:r w:rsidRPr="00BB3EC8">
        <w:rPr>
          <w:rFonts w:ascii="Times New Roman" w:hAnsi="Times New Roman" w:cs="Times New Roman"/>
          <w:color w:val="000000" w:themeColor="text1"/>
        </w:rPr>
        <w:t xml:space="preserve"> å åpne opp for dette </w:t>
      </w:r>
      <w:r w:rsidR="00266CAB">
        <w:rPr>
          <w:rFonts w:ascii="Times New Roman" w:hAnsi="Times New Roman" w:cs="Times New Roman"/>
          <w:color w:val="000000" w:themeColor="text1"/>
        </w:rPr>
        <w:t>for</w:t>
      </w:r>
      <w:r w:rsidRPr="00BB3EC8">
        <w:rPr>
          <w:rFonts w:ascii="Times New Roman" w:hAnsi="Times New Roman" w:cs="Times New Roman"/>
          <w:color w:val="000000" w:themeColor="text1"/>
        </w:rPr>
        <w:t xml:space="preserve"> pasienten.</w:t>
      </w:r>
      <w:r w:rsidR="00207522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207522">
        <w:rPr>
          <w:rFonts w:ascii="Times New Roman" w:hAnsi="Times New Roman" w:cs="Times New Roman"/>
          <w:color w:val="000000" w:themeColor="text1"/>
        </w:rPr>
        <w:t xml:space="preserve">For noen pasienter vil det ikke være ønskelig å bytte medisin, eller vanskelig å administrere nye preparater. Diabetesforbundet mener at diabetespasienter ikke skal </w:t>
      </w:r>
      <w:r w:rsidR="00AA6A6B">
        <w:rPr>
          <w:rFonts w:ascii="Times New Roman" w:hAnsi="Times New Roman" w:cs="Times New Roman"/>
          <w:color w:val="000000" w:themeColor="text1"/>
        </w:rPr>
        <w:t>pålegges</w:t>
      </w:r>
      <w:r w:rsidR="00207522">
        <w:rPr>
          <w:rFonts w:ascii="Times New Roman" w:hAnsi="Times New Roman" w:cs="Times New Roman"/>
          <w:color w:val="000000" w:themeColor="text1"/>
        </w:rPr>
        <w:t xml:space="preserve"> å gå over på biotilsvarende preparater dersom pasienten selv og foreskrivende lege mener at det ikke er hensiktsmessig. </w:t>
      </w:r>
    </w:p>
    <w:p w14:paraId="451345BA" w14:textId="77777777" w:rsidR="003A2B3F" w:rsidRDefault="003A2B3F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5348D43A" w14:textId="77777777" w:rsidR="00C72A99" w:rsidRDefault="00207522" w:rsidP="007E663B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bookmarkStart w:id="3" w:name="_Hlk51076981"/>
      <w:r>
        <w:rPr>
          <w:rFonts w:ascii="Times New Roman" w:hAnsi="Times New Roman" w:cs="Times New Roman"/>
          <w:color w:val="000000" w:themeColor="text1"/>
        </w:rPr>
        <w:t>Diabetesforbundet</w:t>
      </w:r>
      <w:r w:rsidR="00F87D3E">
        <w:rPr>
          <w:rFonts w:ascii="Times New Roman" w:hAnsi="Times New Roman" w:cs="Times New Roman"/>
          <w:color w:val="000000" w:themeColor="text1"/>
        </w:rPr>
        <w:t xml:space="preserve"> er også</w:t>
      </w:r>
      <w:r w:rsidR="00435658">
        <w:rPr>
          <w:rFonts w:ascii="Times New Roman" w:hAnsi="Times New Roman" w:cs="Times New Roman"/>
          <w:color w:val="000000" w:themeColor="text1"/>
        </w:rPr>
        <w:t xml:space="preserve"> sterkt imot</w:t>
      </w:r>
      <w:r w:rsidR="00F87D3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ordningen med ulike </w:t>
      </w:r>
      <w:r w:rsidR="003A2B3F" w:rsidRPr="00BB3EC8">
        <w:rPr>
          <w:rFonts w:ascii="Times New Roman" w:hAnsi="Times New Roman" w:cs="Times New Roman"/>
          <w:color w:val="000000" w:themeColor="text1"/>
        </w:rPr>
        <w:t>leverandøravtaler</w:t>
      </w:r>
      <w:r w:rsidR="00F87D3E">
        <w:rPr>
          <w:rFonts w:ascii="Times New Roman" w:hAnsi="Times New Roman" w:cs="Times New Roman"/>
          <w:color w:val="000000" w:themeColor="text1"/>
        </w:rPr>
        <w:t xml:space="preserve"> hos ulike apotek.</w:t>
      </w:r>
      <w:r>
        <w:rPr>
          <w:rFonts w:ascii="Times New Roman" w:hAnsi="Times New Roman" w:cs="Times New Roman"/>
          <w:color w:val="000000" w:themeColor="text1"/>
        </w:rPr>
        <w:t xml:space="preserve"> Dette kan bidra til å </w:t>
      </w:r>
      <w:r w:rsidR="003A2B3F" w:rsidRPr="00BB3EC8">
        <w:rPr>
          <w:rFonts w:ascii="Times New Roman" w:hAnsi="Times New Roman" w:cs="Times New Roman"/>
          <w:color w:val="000000" w:themeColor="text1"/>
        </w:rPr>
        <w:t xml:space="preserve">gjøre et eventuelt bytte mer forvirrende for pasienten som kan oppleve å bli tilbudt ulike preparater/medikamenter i bytte på ulike apotek. </w:t>
      </w:r>
      <w:bookmarkEnd w:id="3"/>
      <w:r w:rsidR="007E663B" w:rsidRPr="007E663B">
        <w:rPr>
          <w:rFonts w:ascii="Times New Roman" w:hAnsi="Times New Roman" w:cs="Times New Roman"/>
          <w:color w:val="000000" w:themeColor="text1"/>
        </w:rPr>
        <w:t xml:space="preserve">Siden leverandøravtalene til de enkelte </w:t>
      </w:r>
    </w:p>
    <w:p w14:paraId="228C868F" w14:textId="5FDA42FD" w:rsidR="007E663B" w:rsidRPr="007E663B" w:rsidRDefault="007E663B" w:rsidP="007E663B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7E663B">
        <w:rPr>
          <w:rFonts w:ascii="Times New Roman" w:hAnsi="Times New Roman" w:cs="Times New Roman"/>
          <w:color w:val="000000" w:themeColor="text1"/>
        </w:rPr>
        <w:lastRenderedPageBreak/>
        <w:t>apotekkjedene vil variere, bør det være et minstekrav at de enkelte apotek pålegges å rapportere bytte av insulin tilbake til den forskrivende lege.</w:t>
      </w:r>
    </w:p>
    <w:p w14:paraId="779672E1" w14:textId="0412DF17" w:rsidR="003A2B3F" w:rsidRDefault="003A2B3F" w:rsidP="003A2B3F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39F63D60" w14:textId="61C217F9" w:rsidR="00C07E57" w:rsidRDefault="00C07E57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03B565A" w14:textId="5F6CA4B8" w:rsidR="00BB3EC8" w:rsidRDefault="00BB3EC8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5F80181" w14:textId="77777777" w:rsidR="00BB3EC8" w:rsidRPr="00621F73" w:rsidRDefault="00BB3EC8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6AB9BD2F" w14:textId="77777777" w:rsidR="00727CB6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21F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978665C" wp14:editId="4AFBD84C">
            <wp:simplePos x="0" y="0"/>
            <wp:positionH relativeFrom="column">
              <wp:posOffset>-138430</wp:posOffset>
            </wp:positionH>
            <wp:positionV relativeFrom="paragraph">
              <wp:posOffset>422910</wp:posOffset>
            </wp:positionV>
            <wp:extent cx="1733550" cy="400050"/>
            <wp:effectExtent l="1905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F73">
        <w:rPr>
          <w:rFonts w:ascii="Times New Roman" w:hAnsi="Times New Roman" w:cs="Times New Roman"/>
        </w:rPr>
        <w:t>Med vennlig hilsen</w:t>
      </w:r>
    </w:p>
    <w:p w14:paraId="729BA25E" w14:textId="77777777" w:rsidR="00727CB6" w:rsidRPr="00243F68" w:rsidRDefault="00727CB6" w:rsidP="00727CB6">
      <w:pPr>
        <w:tabs>
          <w:tab w:val="left" w:pos="406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57B0D85F" w14:textId="77777777" w:rsidR="00727CB6" w:rsidRDefault="00727CB6" w:rsidP="00727CB6">
      <w:pPr>
        <w:spacing w:after="0" w:line="240" w:lineRule="auto"/>
      </w:pPr>
    </w:p>
    <w:p w14:paraId="3669A7D4" w14:textId="77777777" w:rsidR="00727CB6" w:rsidRDefault="00727CB6" w:rsidP="00727CB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A5C5A2" wp14:editId="049BB285">
            <wp:simplePos x="0" y="0"/>
            <wp:positionH relativeFrom="margin">
              <wp:align>left</wp:align>
            </wp:positionH>
            <wp:positionV relativeFrom="paragraph">
              <wp:posOffset>150471</wp:posOffset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Bjørnar Allgot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Malin Lenita Vik</w:t>
      </w:r>
    </w:p>
    <w:p w14:paraId="0E583866" w14:textId="77777777" w:rsidR="00727CB6" w:rsidRDefault="00727CB6" w:rsidP="00727CB6">
      <w:r>
        <w:t>generalsekretær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politisk rådgiver</w:t>
      </w:r>
    </w:p>
    <w:p w14:paraId="5C2D56BF" w14:textId="77777777" w:rsidR="00D82C76" w:rsidRDefault="003F1D48"/>
    <w:sectPr w:rsidR="00D82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B76DF" w14:textId="77777777" w:rsidR="000960F4" w:rsidRDefault="000960F4" w:rsidP="00727CB6">
      <w:pPr>
        <w:spacing w:after="0" w:line="240" w:lineRule="auto"/>
      </w:pPr>
      <w:r>
        <w:separator/>
      </w:r>
    </w:p>
  </w:endnote>
  <w:endnote w:type="continuationSeparator" w:id="0">
    <w:p w14:paraId="34F79075" w14:textId="77777777" w:rsidR="000960F4" w:rsidRDefault="000960F4" w:rsidP="0072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BBDB" w14:textId="77777777" w:rsidR="000960F4" w:rsidRDefault="000960F4" w:rsidP="00727CB6">
      <w:pPr>
        <w:spacing w:after="0" w:line="240" w:lineRule="auto"/>
      </w:pPr>
      <w:r>
        <w:separator/>
      </w:r>
    </w:p>
  </w:footnote>
  <w:footnote w:type="continuationSeparator" w:id="0">
    <w:p w14:paraId="44C7724A" w14:textId="77777777" w:rsidR="000960F4" w:rsidRDefault="000960F4" w:rsidP="0072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9CBB" w14:textId="25061D27" w:rsidR="00727CB6" w:rsidRDefault="00727CB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7C151" wp14:editId="6E04C825">
          <wp:simplePos x="0" y="0"/>
          <wp:positionH relativeFrom="column">
            <wp:posOffset>2618105</wp:posOffset>
          </wp:positionH>
          <wp:positionV relativeFrom="paragraph">
            <wp:posOffset>-179070</wp:posOffset>
          </wp:positionV>
          <wp:extent cx="3779520" cy="812800"/>
          <wp:effectExtent l="0" t="0" r="0" b="6350"/>
          <wp:wrapThrough wrapText="bothSides">
            <wp:wrapPolygon edited="0">
              <wp:start x="0" y="0"/>
              <wp:lineTo x="0" y="21263"/>
              <wp:lineTo x="21448" y="21263"/>
              <wp:lineTo x="21448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53"/>
    <w:rsid w:val="000960F4"/>
    <w:rsid w:val="00137514"/>
    <w:rsid w:val="001A1637"/>
    <w:rsid w:val="001B68D4"/>
    <w:rsid w:val="00207522"/>
    <w:rsid w:val="00244C83"/>
    <w:rsid w:val="00266CAB"/>
    <w:rsid w:val="002B4C60"/>
    <w:rsid w:val="002C62FF"/>
    <w:rsid w:val="003720CE"/>
    <w:rsid w:val="003A2B3F"/>
    <w:rsid w:val="003C1275"/>
    <w:rsid w:val="003F1D48"/>
    <w:rsid w:val="00435658"/>
    <w:rsid w:val="004C3956"/>
    <w:rsid w:val="005361E5"/>
    <w:rsid w:val="00546712"/>
    <w:rsid w:val="006511D8"/>
    <w:rsid w:val="00653FE6"/>
    <w:rsid w:val="006975F8"/>
    <w:rsid w:val="006A595B"/>
    <w:rsid w:val="00727CB6"/>
    <w:rsid w:val="007E663B"/>
    <w:rsid w:val="00857D34"/>
    <w:rsid w:val="008746F2"/>
    <w:rsid w:val="008E7795"/>
    <w:rsid w:val="00901317"/>
    <w:rsid w:val="0090177E"/>
    <w:rsid w:val="009C7359"/>
    <w:rsid w:val="009D5BD7"/>
    <w:rsid w:val="00A50383"/>
    <w:rsid w:val="00AA6A6B"/>
    <w:rsid w:val="00AC4A44"/>
    <w:rsid w:val="00B40739"/>
    <w:rsid w:val="00B5482D"/>
    <w:rsid w:val="00BB3EC8"/>
    <w:rsid w:val="00C07E57"/>
    <w:rsid w:val="00C334B3"/>
    <w:rsid w:val="00C72A99"/>
    <w:rsid w:val="00D97A9B"/>
    <w:rsid w:val="00E13BF2"/>
    <w:rsid w:val="00E6129C"/>
    <w:rsid w:val="00E633AB"/>
    <w:rsid w:val="00ED6653"/>
    <w:rsid w:val="00EE2C66"/>
    <w:rsid w:val="00F73696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E7678E"/>
  <w15:chartTrackingRefBased/>
  <w15:docId w15:val="{B7620B15-9876-4ED9-88C8-AC4476EA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B6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C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2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7CB6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2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7CB6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A163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A163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A1637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163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1637"/>
    <w:rPr>
      <w:rFonts w:eastAsiaTheme="minorEastAsia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637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C6681-36E7-4550-A2F4-1D8704522E0D}"/>
</file>

<file path=customXml/itemProps2.xml><?xml version="1.0" encoding="utf-8"?>
<ds:datastoreItem xmlns:ds="http://schemas.openxmlformats.org/officeDocument/2006/customXml" ds:itemID="{6CCA68E2-B16C-44E7-9241-275E6D760052}"/>
</file>

<file path=customXml/itemProps3.xml><?xml version="1.0" encoding="utf-8"?>
<ds:datastoreItem xmlns:ds="http://schemas.openxmlformats.org/officeDocument/2006/customXml" ds:itemID="{960AB626-8AAB-4BD1-BC40-41E322C9E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Lenita Vik</dc:creator>
  <cp:keywords/>
  <dc:description/>
  <cp:lastModifiedBy>Malin Lenita Vik</cp:lastModifiedBy>
  <cp:revision>9</cp:revision>
  <cp:lastPrinted>2020-09-14T06:47:00Z</cp:lastPrinted>
  <dcterms:created xsi:type="dcterms:W3CDTF">2020-09-25T07:20:00Z</dcterms:created>
  <dcterms:modified xsi:type="dcterms:W3CDTF">2020-09-25T09:03:00Z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  <property fmtid="{D5CDD505-2E9C-101B-9397-08002B2CF9AE}" pid="3" name="Order">
    <vt:r8>100</vt:r8>
  </property>
</Properties>
</file>